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05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5"/>
        <w:tblGridChange w:id="0">
          <w:tblGrid>
            <w:gridCol w:w="26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pageBreakBefore w:val="0"/>
              <w:bidi w:val="1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sz w:val="6"/>
                <w:szCs w:val="6"/>
              </w:rPr>
              <w:drawing>
                <wp:inline distB="0" distT="0" distL="0" distR="0">
                  <wp:extent cx="342990" cy="432000"/>
                  <wp:effectExtent b="0" l="0" r="0" t="0"/>
                  <wp:docPr descr="C:\Users\secure\Pictures\Azhar logo.gif" id="1" name="image1.gif"/>
                  <a:graphic>
                    <a:graphicData uri="http://schemas.openxmlformats.org/drawingml/2006/picture">
                      <pic:pic>
                        <pic:nvPicPr>
                          <pic:cNvPr descr="C:\Users\secure\Pictures\Azhar logo.gif" id="0" name="image1.gif"/>
                          <pic:cNvPicPr preferRelativeResize="0"/>
                        </pic:nvPicPr>
                        <pic:blipFill>
                          <a:blip r:embed="rId6"/>
                          <a:srcRect b="5304" l="5700" r="829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90" cy="43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Style w:val="Title"/>
              <w:pageBreakBefore w:val="0"/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كـليــــة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الـهندســـة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القاهرة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Style w:val="Title"/>
              <w:pageBreakBefore w:val="0"/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شئون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العليا</w:t>
            </w:r>
          </w:p>
        </w:tc>
      </w:tr>
    </w:tbl>
    <w:p w:rsidR="00000000" w:rsidDel="00000000" w:rsidP="00000000" w:rsidRDefault="00000000" w:rsidRPr="00000000" w14:paraId="00000005">
      <w:pPr>
        <w:pStyle w:val="Title"/>
        <w:pageBreakBefore w:val="0"/>
        <w:bidi w:val="1"/>
        <w:spacing w:before="240" w:line="36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1"/>
        </w:rPr>
        <w:t xml:space="preserve">تقرير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فحص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جماعي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لرسالة</w:t>
      </w:r>
      <w:r w:rsidDel="00000000" w:rsidR="00000000" w:rsidRPr="00000000">
        <w:rPr>
          <w:b w:val="1"/>
          <w:sz w:val="44"/>
          <w:szCs w:val="44"/>
          <w:rtl w:val="1"/>
        </w:rPr>
        <w:t xml:space="preserve"> </w:t>
      </w:r>
      <w:r w:rsidDel="00000000" w:rsidR="00000000" w:rsidRPr="00000000">
        <w:rPr>
          <w:b w:val="1"/>
          <w:sz w:val="44"/>
          <w:szCs w:val="44"/>
          <w:rtl w:val="1"/>
        </w:rPr>
        <w:t xml:space="preserve">علمية</w:t>
      </w:r>
    </w:p>
    <w:p w:rsidR="00000000" w:rsidDel="00000000" w:rsidP="00000000" w:rsidRDefault="00000000" w:rsidRPr="00000000" w14:paraId="00000006">
      <w:pPr>
        <w:pageBreakBefore w:val="0"/>
        <w:bidi w:val="1"/>
        <w:spacing w:after="120" w:before="120"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الباحث</w:t>
      </w:r>
      <w:r w:rsidDel="00000000" w:rsidR="00000000" w:rsidRPr="00000000">
        <w:rPr>
          <w:b w:val="1"/>
          <w:sz w:val="28"/>
          <w:szCs w:val="28"/>
          <w:rtl w:val="1"/>
        </w:rPr>
        <w:t xml:space="preserve">/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الباحثة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07">
      <w:pPr>
        <w:pageBreakBefore w:val="0"/>
        <w:bidi w:val="1"/>
        <w:spacing w:after="120" w:before="12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bidi w:val="1"/>
        <w:spacing w:after="120" w:before="12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التخصص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bidi w:val="1"/>
        <w:spacing w:after="120" w:before="120" w:line="360" w:lineRule="auto"/>
        <w:ind w:left="2693" w:hanging="269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الدرجة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b w:val="1"/>
          <w:sz w:val="28"/>
          <w:szCs w:val="28"/>
          <w:rtl w:val="1"/>
        </w:rPr>
        <w:t xml:space="preserve">دكتوراة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الفلسفة</w:t>
      </w:r>
      <w:r w:rsidDel="00000000" w:rsidR="00000000" w:rsidRPr="00000000">
        <w:rPr>
          <w:b w:val="1"/>
          <w:sz w:val="28"/>
          <w:szCs w:val="28"/>
          <w:rtl w:val="1"/>
        </w:rPr>
        <w:t xml:space="preserve">) /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التخصص</w:t>
      </w:r>
      <w:r w:rsidDel="00000000" w:rsidR="00000000" w:rsidRPr="00000000">
        <w:rPr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0A">
      <w:pPr>
        <w:pageBreakBefore w:val="0"/>
        <w:bidi w:val="1"/>
        <w:spacing w:after="120" w:before="120" w:line="360" w:lineRule="auto"/>
        <w:ind w:left="2693" w:hanging="269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باللغة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tabs>
          <w:tab w:val="left" w:pos="2595"/>
        </w:tabs>
        <w:bidi w:val="1"/>
        <w:spacing w:after="120" w:before="12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باللغة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لانجليزية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                  </w:t>
      </w:r>
    </w:p>
    <w:tbl>
      <w:tblPr>
        <w:tblStyle w:val="Table2"/>
        <w:bidiVisual w:val="1"/>
        <w:tblW w:w="86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bidi w:val="1"/>
              <w:spacing w:before="120" w:line="276" w:lineRule="auto"/>
              <w:ind w:firstLine="2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موافقة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السيد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نائب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الأزهر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00/00/2000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تشكيل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طبقا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للتفويض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لسيادته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(000)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00/00/2000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قرار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00/00/2000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بالموافقة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تشكيل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لرسالة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دكتوراه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الفلسفة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---------------- ( ----------)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الأزهر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تشكيل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النحو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التالي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:</w:t>
            </w:r>
          </w:p>
          <w:tbl>
            <w:tblPr>
              <w:tblStyle w:val="Table3"/>
              <w:bidiVisual w:val="1"/>
              <w:tblW w:w="851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64"/>
              <w:gridCol w:w="3083"/>
              <w:gridCol w:w="989"/>
              <w:gridCol w:w="4082"/>
              <w:tblGridChange w:id="0">
                <w:tblGrid>
                  <w:gridCol w:w="364"/>
                  <w:gridCol w:w="3083"/>
                  <w:gridCol w:w="989"/>
                  <w:gridCol w:w="408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D">
                  <w:pPr>
                    <w:pageBreakBefore w:val="0"/>
                    <w:bidi w:val="1"/>
                    <w:spacing w:before="120" w:lineRule="auto"/>
                    <w:jc w:val="center"/>
                    <w:rPr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1"/>
                    </w:rPr>
                    <w:t xml:space="preserve">م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pageBreakBefore w:val="0"/>
                    <w:bidi w:val="1"/>
                    <w:spacing w:before="120" w:lineRule="auto"/>
                    <w:jc w:val="center"/>
                    <w:rPr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1"/>
                    </w:rPr>
                    <w:t xml:space="preserve">الإسم</w:t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pageBreakBefore w:val="0"/>
                    <w:bidi w:val="1"/>
                    <w:spacing w:before="120" w:lineRule="auto"/>
                    <w:jc w:val="center"/>
                    <w:rPr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1"/>
                    </w:rPr>
                    <w:t xml:space="preserve">الوظيفة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pageBreakBefore w:val="0"/>
                    <w:bidi w:val="1"/>
                    <w:spacing w:before="120" w:lineRule="auto"/>
                    <w:jc w:val="center"/>
                    <w:rPr>
                      <w:b w:val="1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1"/>
                    </w:rPr>
                    <w:t xml:space="preserve">جهة</w:t>
                  </w: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color w:val="000000"/>
                      <w:sz w:val="28"/>
                      <w:szCs w:val="28"/>
                      <w:rtl w:val="1"/>
                    </w:rPr>
                    <w:t xml:space="preserve">العمل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1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5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9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1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pageBreakBefore w:val="0"/>
                    <w:bidi w:val="1"/>
                    <w:spacing w:before="12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pageBreakBefore w:val="0"/>
              <w:bidi w:val="1"/>
              <w:spacing w:before="120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bidi w:val="1"/>
              <w:spacing w:before="12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بأن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السادة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الأساتذة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3،4،5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بالجدول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مشرفين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الرسالة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بصوت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3،4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مشرفان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بصوت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إن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وجد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العدد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باللجنة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والحكم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pageBreakBefore w:val="0"/>
              <w:bidi w:val="1"/>
              <w:spacing w:before="120" w:line="276" w:lineRule="auto"/>
              <w:jc w:val="both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اجتمعت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والحكم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جلسة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علنية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الهندسة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بالقاهرة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الأزهر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000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الموافق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00/00/2000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وانتهت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الساعة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 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pageBreakBefore w:val="0"/>
        <w:bidi w:val="1"/>
        <w:spacing w:before="120" w:line="360" w:lineRule="auto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أولا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الوصف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العام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للرسالة</w:t>
      </w:r>
    </w:p>
    <w:p w:rsidR="00000000" w:rsidDel="00000000" w:rsidP="00000000" w:rsidRDefault="00000000" w:rsidRPr="00000000" w14:paraId="00000029">
      <w:pPr>
        <w:pStyle w:val="Heading1"/>
        <w:pageBreakBefore w:val="0"/>
        <w:bidi w:val="1"/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000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مكتوبة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الواضحة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والمفهومة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تشمل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000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صلب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بالرسالة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ملخصين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وعدد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 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ملحق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bidi w:val="1"/>
        <w:spacing w:after="120" w:befor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التعليق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الإمتحان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القيمة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إخراج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الرسالة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لغة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الرسالة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العرض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المناظرة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ملحوظات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عامة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B">
      <w:pPr>
        <w:pageBreakBefore w:val="0"/>
        <w:bidi w:val="1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يشتمل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التعليق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شرح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تفصيلي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للقيمة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للرسالة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حالة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الماجستير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يجب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يشتمل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حالة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الدكتوراة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على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سرد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مفصل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لما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تقدمه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الرسالة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من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اضافة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علمية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جديدة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قيمة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صناعية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pageBreakBefore w:val="0"/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ثالثا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محتويات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 (</w:t>
      </w:r>
      <w:r w:rsidDel="00000000" w:rsidR="00000000" w:rsidRPr="00000000">
        <w:rPr>
          <w:sz w:val="24"/>
          <w:szCs w:val="24"/>
          <w:rtl w:val="1"/>
        </w:rPr>
        <w:t xml:space="preserve">وتتضمن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موجزا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وافيا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فصل</w:t>
      </w:r>
      <w:r w:rsidDel="00000000" w:rsidR="00000000" w:rsidRPr="00000000">
        <w:rPr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2D">
      <w:pPr>
        <w:pageBreakBefore w:val="0"/>
        <w:bidi w:val="1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: ............................................</w:t>
      </w:r>
    </w:p>
    <w:p w:rsidR="00000000" w:rsidDel="00000000" w:rsidP="00000000" w:rsidRDefault="00000000" w:rsidRPr="00000000" w14:paraId="0000002E">
      <w:pPr>
        <w:pageBreakBefore w:val="0"/>
        <w:bidi w:val="1"/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: ...........................................</w:t>
      </w:r>
    </w:p>
    <w:p w:rsidR="00000000" w:rsidDel="00000000" w:rsidP="00000000" w:rsidRDefault="00000000" w:rsidRPr="00000000" w14:paraId="0000002F">
      <w:pPr>
        <w:pStyle w:val="Heading1"/>
        <w:pageBreakBefore w:val="0"/>
        <w:bidi w:val="1"/>
        <w:spacing w:after="240" w:before="0" w:lineRule="auto"/>
        <w:rPr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الثالث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...........................................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6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0">
            <w:pPr>
              <w:pageBreakBefore w:val="0"/>
              <w:bidi w:val="1"/>
              <w:jc w:val="center"/>
              <w:rPr/>
            </w:pPr>
            <w:r w:rsidDel="00000000" w:rsidR="00000000" w:rsidRPr="00000000">
              <w:rPr>
                <w:b w:val="1"/>
                <w:sz w:val="40"/>
                <w:szCs w:val="40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التفكير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المستقل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وأسلوب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المعالجة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اجمالي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الكفاءة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التطبيقية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القابلية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امكانية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صناعي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الباحثة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لموضوع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المناقشة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أبعاد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وتطبيقاته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لموضوع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ممتاز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النزاهة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التحليل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توضيح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توضيح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bidi w:val="1"/>
        <w:ind w:firstLine="720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مقبول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  <w:tab/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  <w:tab/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ممتاز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bidi w:val="1"/>
        <w:ind w:firstLine="720"/>
        <w:rPr>
          <w:rFonts w:ascii="Cambria" w:cs="Cambria" w:eastAsia="Cambria" w:hAnsi="Cambri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6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pageBreakBefore w:val="0"/>
              <w:bidi w:val="1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1"/>
              </w:rPr>
              <w:t xml:space="preserve">رأي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1"/>
              </w:rPr>
              <w:t xml:space="preserve">والحكم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bidi w:val="1"/>
        <w:spacing w:after="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bidi w:val="1"/>
        <w:spacing w:after="0"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الفلسفة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الباحثة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000000000 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ومبتكر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جيدة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وموضوع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0000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وهوأحد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تخصصات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الهندسة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0000 (000 000) 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الهندسة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بنشر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أكاديمي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مجلات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متخصصة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00000000. </w:t>
      </w:r>
    </w:p>
    <w:p w:rsidR="00000000" w:rsidDel="00000000" w:rsidP="00000000" w:rsidRDefault="00000000" w:rsidRPr="00000000" w14:paraId="00000043">
      <w:pPr>
        <w:pageBreakBefore w:val="0"/>
        <w:bidi w:val="1"/>
        <w:spacing w:after="24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اطمأنت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المناقشة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سلامة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الاقتباس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الاطلاع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بعرض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اكتشاف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السرقات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والنقل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جهة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تقرير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الإقتباس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النتيجة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 00%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النسبة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مطابقة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لشروط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قبول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بكلية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الهندسة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الازهر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.</w:t>
      </w:r>
    </w:p>
    <w:tbl>
      <w:tblPr>
        <w:tblStyle w:val="Table6"/>
        <w:bidiVisual w:val="1"/>
        <w:tblW w:w="86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4">
            <w:pPr>
              <w:pStyle w:val="Heading1"/>
              <w:pageBreakBefore w:val="0"/>
              <w:bidi w:val="1"/>
              <w:spacing w:before="0" w:lineRule="auto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1"/>
              </w:rPr>
              <w:t xml:space="preserve">لتوصية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bidi w:val="1"/>
        <w:spacing w:after="0" w:before="240" w:lineRule="auto"/>
        <w:ind w:left="-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بتعديلات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تستوجب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المناظرة</w:t>
      </w:r>
      <w:r w:rsidDel="00000000" w:rsidR="00000000" w:rsidRPr="00000000">
        <w:rPr>
          <w:sz w:val="28"/>
          <w:szCs w:val="28"/>
          <w:rtl w:val="1"/>
        </w:rPr>
        <w:t xml:space="preserve">؟</w:t>
      </w:r>
    </w:p>
    <w:p w:rsidR="00000000" w:rsidDel="00000000" w:rsidP="00000000" w:rsidRDefault="00000000" w:rsidRPr="00000000" w14:paraId="00000046">
      <w:pPr>
        <w:pageBreakBefore w:val="0"/>
        <w:bidi w:val="1"/>
        <w:spacing w:after="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ab/>
        <w:tab/>
        <w:tab/>
        <w:tab/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18" w:right="0" w:hanging="425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توصي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بتعديلات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وتفويض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بمراجعتها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مناقشتها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48">
      <w:pPr>
        <w:pageBreakBefore w:val="0"/>
        <w:bidi w:val="1"/>
        <w:spacing w:after="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ab/>
        <w:tab/>
        <w:tab/>
        <w:tab/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التعديلات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4A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</w:t>
      </w:r>
    </w:p>
    <w:p w:rsidR="00000000" w:rsidDel="00000000" w:rsidP="00000000" w:rsidRDefault="00000000" w:rsidRPr="00000000" w14:paraId="0000004B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</w:t>
      </w:r>
    </w:p>
    <w:p w:rsidR="00000000" w:rsidDel="00000000" w:rsidP="00000000" w:rsidRDefault="00000000" w:rsidRPr="00000000" w14:paraId="0000004C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</w:t>
      </w:r>
    </w:p>
    <w:p w:rsidR="00000000" w:rsidDel="00000000" w:rsidP="00000000" w:rsidRDefault="00000000" w:rsidRPr="00000000" w14:paraId="0000004D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</w:t>
      </w:r>
    </w:p>
    <w:p w:rsidR="00000000" w:rsidDel="00000000" w:rsidP="00000000" w:rsidRDefault="00000000" w:rsidRPr="00000000" w14:paraId="0000004E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5-</w:t>
      </w:r>
    </w:p>
    <w:p w:rsidR="00000000" w:rsidDel="00000000" w:rsidP="00000000" w:rsidRDefault="00000000" w:rsidRPr="00000000" w14:paraId="0000004F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6-</w:t>
      </w:r>
    </w:p>
    <w:p w:rsidR="00000000" w:rsidDel="00000000" w:rsidP="00000000" w:rsidRDefault="00000000" w:rsidRPr="00000000" w14:paraId="00000050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7-</w:t>
      </w:r>
    </w:p>
    <w:p w:rsidR="00000000" w:rsidDel="00000000" w:rsidP="00000000" w:rsidRDefault="00000000" w:rsidRPr="00000000" w14:paraId="00000051">
      <w:pPr>
        <w:pageBreakBefore w:val="0"/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8-</w:t>
      </w:r>
    </w:p>
    <w:p w:rsidR="00000000" w:rsidDel="00000000" w:rsidP="00000000" w:rsidRDefault="00000000" w:rsidRPr="00000000" w14:paraId="00000052">
      <w:pPr>
        <w:pageBreakBefore w:val="0"/>
        <w:bidi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9-</w:t>
      </w:r>
    </w:p>
    <w:tbl>
      <w:tblPr>
        <w:tblStyle w:val="Table7"/>
        <w:bidiVisual w:val="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278" w:right="0" w:hanging="284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كانت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الإجابة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نعم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الباحث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زمنية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شهر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أثنى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عشرة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شهرا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لإستيفاء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التعديلات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إرفاق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خطاب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جماعي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أعضاء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اللجنة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يفيد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الباحث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أتم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التعديلات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لمنح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bidi w:val="1"/>
        <w:spacing w:after="120" w:before="120" w:lineRule="auto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توصـي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اللجنـة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بإجماع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الآراء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بمنـح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الباحثة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00000000000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الفلسفة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)/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الهندســة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000000 (000 000000)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كلـية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الهندسـة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بنين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جـامعـة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الأزهـــر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bidi w:val="1"/>
        <w:spacing w:before="12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نعم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ab/>
        <w:tab/>
        <w:tab/>
        <w:tab/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☐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63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6">
            <w:pPr>
              <w:pageBreakBefore w:val="0"/>
              <w:bidi w:val="1"/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والحكم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bidi w:val="1"/>
        <w:spacing w:before="1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8634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"/>
        <w:gridCol w:w="3083"/>
        <w:gridCol w:w="3214"/>
        <w:gridCol w:w="1974"/>
        <w:tblGridChange w:id="0">
          <w:tblGrid>
            <w:gridCol w:w="364"/>
            <w:gridCol w:w="3083"/>
            <w:gridCol w:w="3214"/>
            <w:gridCol w:w="19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الإسم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العمل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bidi w:val="1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bidi w:val="1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360" w:line="276" w:lineRule="auto"/>
        <w:ind w:left="27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260" w:top="99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توقيع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أعضاء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لجنة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المناقشة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والحكم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